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CE7" w:rsidRDefault="002A1637" w:rsidP="002A1637">
      <w:pPr>
        <w:jc w:val="center"/>
        <w:rPr>
          <w:b/>
          <w:color w:val="808080" w:themeColor="background1" w:themeShade="80"/>
          <w:sz w:val="40"/>
          <w:u w:val="single"/>
        </w:rPr>
      </w:pPr>
      <w:r w:rsidRPr="008C27B9">
        <w:rPr>
          <w:b/>
          <w:color w:val="808080" w:themeColor="background1" w:themeShade="80"/>
          <w:sz w:val="40"/>
          <w:u w:val="single"/>
        </w:rPr>
        <w:t xml:space="preserve">Estimation des flux financiers associés à la </w:t>
      </w:r>
      <w:r w:rsidR="00E1278C">
        <w:rPr>
          <w:b/>
          <w:color w:val="808080" w:themeColor="background1" w:themeShade="80"/>
          <w:sz w:val="40"/>
          <w:u w:val="single"/>
        </w:rPr>
        <w:t>protection contre les inondations</w:t>
      </w:r>
    </w:p>
    <w:p w:rsidR="00E96962" w:rsidRPr="00E96962" w:rsidRDefault="00717C36" w:rsidP="00E96962">
      <w:pPr>
        <w:rPr>
          <w:b/>
          <w:color w:val="808080" w:themeColor="background1" w:themeShade="80"/>
          <w:sz w:val="20"/>
          <w:u w:val="single"/>
        </w:rPr>
      </w:pPr>
      <w:r w:rsidRPr="00717C36">
        <w:rPr>
          <w:b/>
          <w:noProof/>
          <w:color w:val="808080" w:themeColor="background1" w:themeShade="80"/>
          <w:sz w:val="40"/>
          <w:u w:val="single"/>
          <w:lang w:eastAsia="fr-FR"/>
        </w:rPr>
        <w:pict>
          <v:roundrect id="_x0000_s1031" style="position:absolute;margin-left:-27.15pt;margin-top:10.65pt;width:503.1pt;height:365.75pt;z-index:251661312" arcsize="10923f" filled="f" strokecolor="#7f7f7f [1612]"/>
        </w:pict>
      </w:r>
    </w:p>
    <w:p w:rsidR="00650501" w:rsidRDefault="00650501" w:rsidP="00D30604">
      <w:pPr>
        <w:jc w:val="both"/>
        <w:rPr>
          <w:sz w:val="24"/>
        </w:rPr>
      </w:pPr>
      <w:r w:rsidRPr="008C27B9">
        <w:rPr>
          <w:b/>
          <w:sz w:val="24"/>
          <w:u w:val="single"/>
        </w:rPr>
        <w:t>Périmètre</w:t>
      </w:r>
      <w:r w:rsidR="00783F80">
        <w:rPr>
          <w:b/>
          <w:sz w:val="24"/>
          <w:u w:val="single"/>
        </w:rPr>
        <w:t> </w:t>
      </w:r>
      <w:r w:rsidR="00783F80" w:rsidRPr="00CA5BB1">
        <w:rPr>
          <w:sz w:val="24"/>
        </w:rPr>
        <w:t>:</w:t>
      </w:r>
      <w:r w:rsidR="00CA5BB1" w:rsidRPr="00CA5BB1">
        <w:rPr>
          <w:sz w:val="24"/>
        </w:rPr>
        <w:t xml:space="preserve"> Il s’agit de considérer l</w:t>
      </w:r>
      <w:r w:rsidR="00E1278C" w:rsidRPr="00E1278C">
        <w:rPr>
          <w:sz w:val="24"/>
        </w:rPr>
        <w:t xml:space="preserve">’ensemble des dispositifs mis en place pour la protection contre les inondations sur le bassin RMC. </w:t>
      </w:r>
      <w:r w:rsidRPr="00650501">
        <w:rPr>
          <w:sz w:val="24"/>
        </w:rPr>
        <w:t xml:space="preserve">Les services liés à la </w:t>
      </w:r>
      <w:r w:rsidR="00E1278C">
        <w:rPr>
          <w:sz w:val="24"/>
        </w:rPr>
        <w:t>protection contre les inondations</w:t>
      </w:r>
      <w:r w:rsidRPr="00650501">
        <w:rPr>
          <w:sz w:val="24"/>
        </w:rPr>
        <w:t xml:space="preserve"> couvrent </w:t>
      </w:r>
      <w:r>
        <w:rPr>
          <w:sz w:val="24"/>
        </w:rPr>
        <w:t xml:space="preserve"> </w:t>
      </w:r>
      <w:r w:rsidRPr="00650501">
        <w:rPr>
          <w:sz w:val="24"/>
        </w:rPr>
        <w:t>les travaux d’infrast</w:t>
      </w:r>
      <w:r>
        <w:rPr>
          <w:sz w:val="24"/>
        </w:rPr>
        <w:t>r</w:t>
      </w:r>
      <w:r w:rsidRPr="00650501">
        <w:rPr>
          <w:sz w:val="24"/>
        </w:rPr>
        <w:t>u</w:t>
      </w:r>
      <w:r>
        <w:rPr>
          <w:sz w:val="24"/>
        </w:rPr>
        <w:t>ct</w:t>
      </w:r>
      <w:r w:rsidRPr="00650501">
        <w:rPr>
          <w:sz w:val="24"/>
        </w:rPr>
        <w:t>ures (</w:t>
      </w:r>
      <w:r w:rsidR="00E1278C">
        <w:rPr>
          <w:sz w:val="24"/>
        </w:rPr>
        <w:t>ouvrage de rétention, construction de digues, travaux de confortement</w:t>
      </w:r>
      <w:r>
        <w:rPr>
          <w:sz w:val="24"/>
        </w:rPr>
        <w:t> ...</w:t>
      </w:r>
      <w:r w:rsidRPr="00650501">
        <w:rPr>
          <w:sz w:val="24"/>
        </w:rPr>
        <w:t>)</w:t>
      </w:r>
      <w:r>
        <w:rPr>
          <w:sz w:val="24"/>
        </w:rPr>
        <w:t xml:space="preserve"> mais également </w:t>
      </w:r>
      <w:r w:rsidRPr="00650501">
        <w:rPr>
          <w:sz w:val="24"/>
        </w:rPr>
        <w:t xml:space="preserve">les actions </w:t>
      </w:r>
      <w:r w:rsidR="00E1278C">
        <w:rPr>
          <w:sz w:val="24"/>
        </w:rPr>
        <w:t>relatives à la planification des alertes</w:t>
      </w:r>
      <w:r w:rsidR="00F774A7">
        <w:rPr>
          <w:sz w:val="24"/>
        </w:rPr>
        <w:t xml:space="preserve"> et des crues</w:t>
      </w:r>
      <w:r w:rsidR="00E1278C">
        <w:rPr>
          <w:sz w:val="24"/>
        </w:rPr>
        <w:t xml:space="preserve">, à </w:t>
      </w:r>
      <w:r w:rsidR="00F774A7">
        <w:rPr>
          <w:sz w:val="24"/>
        </w:rPr>
        <w:t xml:space="preserve">la réduction de la </w:t>
      </w:r>
      <w:r w:rsidR="00B413AF">
        <w:rPr>
          <w:sz w:val="24"/>
        </w:rPr>
        <w:t>vulnérabilité</w:t>
      </w:r>
      <w:r w:rsidR="00E1278C">
        <w:rPr>
          <w:sz w:val="24"/>
        </w:rPr>
        <w:t xml:space="preserve"> …</w:t>
      </w:r>
      <w:r w:rsidRPr="00650501">
        <w:rPr>
          <w:sz w:val="24"/>
        </w:rPr>
        <w:t>.</w:t>
      </w:r>
      <w:r w:rsidR="00E1278C">
        <w:rPr>
          <w:sz w:val="24"/>
        </w:rPr>
        <w:t xml:space="preserve"> Les données présentées ci-dessous proviennent exclusivement des dispositifs PAPI et PSR établis sur le bassin RMC</w:t>
      </w:r>
      <w:r w:rsidR="00783F80">
        <w:rPr>
          <w:sz w:val="24"/>
        </w:rPr>
        <w:t xml:space="preserve"> et labélisés depuis mi-2011 dans le cadre du nouveau dispositif PAPI – PSR</w:t>
      </w:r>
      <w:r w:rsidR="00697C28">
        <w:rPr>
          <w:sz w:val="24"/>
        </w:rPr>
        <w:t>*</w:t>
      </w:r>
      <w:r w:rsidR="00783F80">
        <w:rPr>
          <w:sz w:val="24"/>
        </w:rPr>
        <w:t>.</w:t>
      </w:r>
    </w:p>
    <w:p w:rsidR="00CA23B7" w:rsidRDefault="00650501" w:rsidP="001255B1">
      <w:pPr>
        <w:spacing w:line="240" w:lineRule="auto"/>
        <w:outlineLvl w:val="0"/>
        <w:rPr>
          <w:b/>
          <w:sz w:val="24"/>
        </w:rPr>
      </w:pPr>
      <w:r w:rsidRPr="008C27B9">
        <w:rPr>
          <w:b/>
          <w:sz w:val="24"/>
          <w:u w:val="single"/>
        </w:rPr>
        <w:t>Chiffres clés</w:t>
      </w:r>
      <w:r>
        <w:rPr>
          <w:b/>
          <w:sz w:val="24"/>
          <w:u w:val="single"/>
        </w:rPr>
        <w:t> </w:t>
      </w:r>
    </w:p>
    <w:p w:rsidR="00E1278C" w:rsidRPr="00292740" w:rsidRDefault="004542A4" w:rsidP="00D30604">
      <w:pPr>
        <w:pStyle w:val="ListParagraph"/>
        <w:numPr>
          <w:ilvl w:val="0"/>
          <w:numId w:val="1"/>
        </w:numPr>
        <w:tabs>
          <w:tab w:val="left" w:pos="142"/>
        </w:tabs>
        <w:spacing w:line="240" w:lineRule="auto"/>
        <w:ind w:left="284"/>
        <w:jc w:val="both"/>
      </w:pPr>
      <w:r w:rsidRPr="004542A4">
        <w:rPr>
          <w:sz w:val="24"/>
        </w:rPr>
        <w:t>Au 31 mai 2013, l</w:t>
      </w:r>
      <w:r w:rsidR="00E1278C" w:rsidRPr="004542A4">
        <w:rPr>
          <w:sz w:val="24"/>
        </w:rPr>
        <w:t>e bassin RMC compt</w:t>
      </w:r>
      <w:r w:rsidRPr="004542A4">
        <w:rPr>
          <w:sz w:val="24"/>
        </w:rPr>
        <w:t>abilise</w:t>
      </w:r>
      <w:r w:rsidR="00E1278C" w:rsidRPr="004542A4">
        <w:rPr>
          <w:sz w:val="24"/>
        </w:rPr>
        <w:t xml:space="preserve"> 1</w:t>
      </w:r>
      <w:r w:rsidR="00697C28" w:rsidRPr="004542A4">
        <w:rPr>
          <w:sz w:val="24"/>
        </w:rPr>
        <w:t>9</w:t>
      </w:r>
      <w:r w:rsidR="00E1278C" w:rsidRPr="004542A4">
        <w:rPr>
          <w:sz w:val="24"/>
        </w:rPr>
        <w:t xml:space="preserve"> PAPI labélisés et 6 opérations PSR </w:t>
      </w:r>
      <w:r w:rsidRPr="004542A4">
        <w:rPr>
          <w:sz w:val="24"/>
        </w:rPr>
        <w:t>soit</w:t>
      </w:r>
      <w:r w:rsidR="00D30604" w:rsidRPr="004542A4">
        <w:rPr>
          <w:sz w:val="24"/>
        </w:rPr>
        <w:t xml:space="preserve"> un budget de près </w:t>
      </w:r>
      <w:r w:rsidR="00D30604" w:rsidRPr="00A65DE8">
        <w:rPr>
          <w:sz w:val="24"/>
        </w:rPr>
        <w:t xml:space="preserve">de </w:t>
      </w:r>
      <w:r w:rsidR="00792D6A" w:rsidRPr="00A65DE8">
        <w:rPr>
          <w:sz w:val="24"/>
        </w:rPr>
        <w:t>4</w:t>
      </w:r>
      <w:r w:rsidR="00A65DE8" w:rsidRPr="00A65DE8">
        <w:rPr>
          <w:sz w:val="24"/>
        </w:rPr>
        <w:t>00</w:t>
      </w:r>
      <w:r w:rsidR="00D30604" w:rsidRPr="00A65DE8">
        <w:rPr>
          <w:sz w:val="24"/>
        </w:rPr>
        <w:t xml:space="preserve"> M</w:t>
      </w:r>
      <w:r w:rsidR="00D30604" w:rsidRPr="00A65DE8">
        <w:rPr>
          <w:rFonts w:ascii="Arial" w:hAnsi="Arial" w:cs="Arial"/>
          <w:sz w:val="24"/>
        </w:rPr>
        <w:t>€</w:t>
      </w:r>
    </w:p>
    <w:p w:rsidR="00292740" w:rsidRPr="00C7142A" w:rsidRDefault="00292740" w:rsidP="00D30604">
      <w:pPr>
        <w:pStyle w:val="ListParagraph"/>
        <w:numPr>
          <w:ilvl w:val="0"/>
          <w:numId w:val="1"/>
        </w:numPr>
        <w:tabs>
          <w:tab w:val="left" w:pos="142"/>
        </w:tabs>
        <w:spacing w:line="240" w:lineRule="auto"/>
        <w:ind w:left="284"/>
        <w:jc w:val="both"/>
        <w:rPr>
          <w:sz w:val="24"/>
        </w:rPr>
      </w:pPr>
      <w:r>
        <w:rPr>
          <w:rFonts w:ascii="Arial" w:hAnsi="Arial" w:cs="Arial"/>
          <w:sz w:val="24"/>
        </w:rPr>
        <w:t xml:space="preserve"> </w:t>
      </w:r>
      <w:r w:rsidR="00C7142A" w:rsidRPr="00C7142A">
        <w:rPr>
          <w:sz w:val="24"/>
        </w:rPr>
        <w:t>Les financements des dispositifs de protection contre les inondations sont issus à 50% des subventions de l’état via des fonds spécifiques. Le restant provient généralement des collectivités locales et</w:t>
      </w:r>
      <w:r w:rsidR="00C7142A">
        <w:rPr>
          <w:sz w:val="24"/>
        </w:rPr>
        <w:t>/ou</w:t>
      </w:r>
      <w:r w:rsidR="00C7142A" w:rsidRPr="00C7142A">
        <w:rPr>
          <w:sz w:val="24"/>
        </w:rPr>
        <w:t xml:space="preserve"> de fonds européens (</w:t>
      </w:r>
      <w:r w:rsidR="00C7142A" w:rsidRPr="00C7142A">
        <w:rPr>
          <w:i/>
        </w:rPr>
        <w:t>Cf. Tableau 3</w:t>
      </w:r>
      <w:r w:rsidR="00C7142A" w:rsidRPr="00C7142A">
        <w:rPr>
          <w:sz w:val="24"/>
        </w:rPr>
        <w:t>)</w:t>
      </w:r>
      <w:r w:rsidR="00C7142A">
        <w:rPr>
          <w:sz w:val="24"/>
        </w:rPr>
        <w:t>.</w:t>
      </w:r>
    </w:p>
    <w:p w:rsidR="00CA23B7" w:rsidRPr="00CA23B7" w:rsidRDefault="00CA23B7" w:rsidP="001255B1">
      <w:pPr>
        <w:outlineLvl w:val="0"/>
        <w:rPr>
          <w:b/>
          <w:sz w:val="24"/>
          <w:u w:val="single"/>
        </w:rPr>
      </w:pPr>
      <w:r w:rsidRPr="00CA23B7">
        <w:rPr>
          <w:b/>
          <w:sz w:val="24"/>
          <w:u w:val="single"/>
        </w:rPr>
        <w:t xml:space="preserve">Résultats </w:t>
      </w:r>
      <w:r w:rsidR="00F774A7">
        <w:rPr>
          <w:b/>
          <w:sz w:val="24"/>
          <w:u w:val="single"/>
        </w:rPr>
        <w:t xml:space="preserve"> </w:t>
      </w:r>
    </w:p>
    <w:p w:rsidR="00CE44D9" w:rsidRPr="001D76A2" w:rsidRDefault="00C7142A" w:rsidP="001D76A2">
      <w:pPr>
        <w:ind w:left="-284"/>
        <w:jc w:val="center"/>
        <w:rPr>
          <w:b/>
          <w:sz w:val="24"/>
        </w:rPr>
      </w:pPr>
      <w:r w:rsidRPr="00C7142A">
        <w:rPr>
          <w:noProof/>
          <w:lang w:eastAsia="fr-FR"/>
        </w:rPr>
        <w:drawing>
          <wp:inline distT="0" distB="0" distL="0" distR="0">
            <wp:extent cx="3276600" cy="752475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4D9" w:rsidRDefault="00CE44D9" w:rsidP="001255B1">
      <w:pPr>
        <w:ind w:left="-284"/>
        <w:jc w:val="center"/>
        <w:outlineLvl w:val="0"/>
        <w:rPr>
          <w:b/>
          <w:i/>
          <w:sz w:val="20"/>
        </w:rPr>
      </w:pPr>
      <w:r w:rsidRPr="00CE44D9">
        <w:rPr>
          <w:b/>
          <w:i/>
          <w:sz w:val="20"/>
        </w:rPr>
        <w:t xml:space="preserve">Tableau 1 : Coûts </w:t>
      </w:r>
      <w:r w:rsidR="00377B04">
        <w:rPr>
          <w:b/>
          <w:i/>
          <w:sz w:val="20"/>
        </w:rPr>
        <w:t xml:space="preserve">annuel </w:t>
      </w:r>
      <w:r w:rsidRPr="00CE44D9">
        <w:rPr>
          <w:b/>
          <w:i/>
          <w:sz w:val="20"/>
        </w:rPr>
        <w:t>relatifs à la protection contre les inondations</w:t>
      </w:r>
      <w:r w:rsidR="004542A4">
        <w:rPr>
          <w:b/>
          <w:i/>
          <w:sz w:val="20"/>
        </w:rPr>
        <w:t xml:space="preserve"> </w:t>
      </w:r>
      <w:r w:rsidR="004542A4" w:rsidRPr="00C7142A">
        <w:rPr>
          <w:b/>
          <w:i/>
          <w:sz w:val="20"/>
        </w:rPr>
        <w:t>en M€</w:t>
      </w:r>
    </w:p>
    <w:p w:rsidR="00C7142A" w:rsidRDefault="00C7142A" w:rsidP="00697C28">
      <w:pPr>
        <w:jc w:val="both"/>
        <w:rPr>
          <w:b/>
          <w:sz w:val="24"/>
          <w:u w:val="single"/>
        </w:rPr>
      </w:pPr>
    </w:p>
    <w:p w:rsidR="00697C28" w:rsidRPr="00697C28" w:rsidRDefault="00697C28" w:rsidP="001255B1">
      <w:pPr>
        <w:jc w:val="both"/>
        <w:outlineLvl w:val="0"/>
        <w:rPr>
          <w:b/>
          <w:sz w:val="24"/>
          <w:u w:val="single"/>
        </w:rPr>
      </w:pPr>
      <w:r w:rsidRPr="00697C28">
        <w:rPr>
          <w:b/>
          <w:sz w:val="24"/>
          <w:u w:val="single"/>
        </w:rPr>
        <w:t>Méthodologie de calcul et principales hypothèses</w:t>
      </w:r>
    </w:p>
    <w:p w:rsidR="00697C28" w:rsidRPr="00697C28" w:rsidRDefault="00697C28" w:rsidP="00697C28">
      <w:pPr>
        <w:pStyle w:val="ListParagraph"/>
        <w:numPr>
          <w:ilvl w:val="0"/>
          <w:numId w:val="3"/>
        </w:numPr>
        <w:ind w:left="284"/>
        <w:jc w:val="both"/>
        <w:rPr>
          <w:i/>
          <w:sz w:val="24"/>
        </w:rPr>
      </w:pPr>
      <w:r w:rsidRPr="00D97CD5">
        <w:rPr>
          <w:sz w:val="24"/>
        </w:rPr>
        <w:t xml:space="preserve">D’après le </w:t>
      </w:r>
      <w:r w:rsidR="00CA5BB1">
        <w:rPr>
          <w:sz w:val="24"/>
        </w:rPr>
        <w:t>bilan des</w:t>
      </w:r>
      <w:r w:rsidRPr="00D97CD5">
        <w:rPr>
          <w:sz w:val="24"/>
        </w:rPr>
        <w:t xml:space="preserve"> dispositifs PAPI – PSR</w:t>
      </w:r>
      <w:r>
        <w:rPr>
          <w:sz w:val="24"/>
        </w:rPr>
        <w:t xml:space="preserve"> </w:t>
      </w:r>
      <w:r w:rsidRPr="00D97CD5">
        <w:rPr>
          <w:sz w:val="24"/>
        </w:rPr>
        <w:t>de la DREAL Rhône Alpes</w:t>
      </w:r>
      <w:r>
        <w:rPr>
          <w:sz w:val="24"/>
        </w:rPr>
        <w:t xml:space="preserve"> [1]</w:t>
      </w:r>
      <w:r w:rsidRPr="00D97CD5">
        <w:rPr>
          <w:sz w:val="24"/>
        </w:rPr>
        <w:t>, le b</w:t>
      </w:r>
      <w:r w:rsidR="00CA5BB1">
        <w:rPr>
          <w:sz w:val="24"/>
        </w:rPr>
        <w:t>assin RMC compte</w:t>
      </w:r>
      <w:r w:rsidR="00B265A4">
        <w:rPr>
          <w:sz w:val="24"/>
        </w:rPr>
        <w:t>,</w:t>
      </w:r>
      <w:r w:rsidR="00CA5BB1">
        <w:rPr>
          <w:sz w:val="24"/>
        </w:rPr>
        <w:t xml:space="preserve"> au 31 Mai 2013</w:t>
      </w:r>
      <w:r w:rsidR="00B265A4">
        <w:rPr>
          <w:sz w:val="24"/>
        </w:rPr>
        <w:t>,</w:t>
      </w:r>
      <w:r w:rsidR="00CA5BB1">
        <w:rPr>
          <w:sz w:val="24"/>
        </w:rPr>
        <w:t xml:space="preserve"> </w:t>
      </w:r>
      <w:r w:rsidRPr="00D97CD5">
        <w:rPr>
          <w:sz w:val="24"/>
        </w:rPr>
        <w:t>1</w:t>
      </w:r>
      <w:r w:rsidR="00CA5BB1">
        <w:rPr>
          <w:sz w:val="24"/>
        </w:rPr>
        <w:t>9</w:t>
      </w:r>
      <w:r w:rsidRPr="00D97CD5">
        <w:rPr>
          <w:sz w:val="24"/>
        </w:rPr>
        <w:t xml:space="preserve"> PAPI et  6 PSR </w:t>
      </w:r>
      <w:r>
        <w:rPr>
          <w:sz w:val="24"/>
        </w:rPr>
        <w:t xml:space="preserve"> </w:t>
      </w:r>
      <w:r w:rsidR="00CA5BB1">
        <w:rPr>
          <w:sz w:val="24"/>
        </w:rPr>
        <w:t xml:space="preserve"> labélisés*</w:t>
      </w:r>
      <w:r w:rsidR="00F06317">
        <w:rPr>
          <w:sz w:val="24"/>
        </w:rPr>
        <w:t>*</w:t>
      </w:r>
      <w:r w:rsidR="00CA5BB1">
        <w:rPr>
          <w:sz w:val="24"/>
        </w:rPr>
        <w:t xml:space="preserve"> </w:t>
      </w:r>
      <w:r>
        <w:rPr>
          <w:sz w:val="24"/>
        </w:rPr>
        <w:t xml:space="preserve">représentant respectivement des budgets de </w:t>
      </w:r>
      <w:r w:rsidRPr="00D97CD5">
        <w:rPr>
          <w:sz w:val="24"/>
        </w:rPr>
        <w:t>3</w:t>
      </w:r>
      <w:r w:rsidR="00CA5BB1">
        <w:rPr>
          <w:sz w:val="24"/>
        </w:rPr>
        <w:t>80</w:t>
      </w:r>
      <w:r w:rsidRPr="00D97CD5">
        <w:rPr>
          <w:sz w:val="24"/>
        </w:rPr>
        <w:t xml:space="preserve"> M€ </w:t>
      </w:r>
      <w:r>
        <w:rPr>
          <w:sz w:val="24"/>
        </w:rPr>
        <w:t xml:space="preserve">et de </w:t>
      </w:r>
      <w:r w:rsidRPr="00D97CD5">
        <w:rPr>
          <w:sz w:val="24"/>
        </w:rPr>
        <w:t>24 M€</w:t>
      </w:r>
      <w:r>
        <w:rPr>
          <w:sz w:val="24"/>
        </w:rPr>
        <w:t>.</w:t>
      </w:r>
    </w:p>
    <w:p w:rsidR="00697C28" w:rsidRDefault="00697C28" w:rsidP="00697C28">
      <w:pPr>
        <w:pStyle w:val="ListParagraph"/>
        <w:ind w:left="284"/>
        <w:jc w:val="both"/>
        <w:rPr>
          <w:sz w:val="24"/>
        </w:rPr>
      </w:pPr>
      <w:r>
        <w:rPr>
          <w:sz w:val="24"/>
        </w:rPr>
        <w:t>Dans cette étude, les coûts relatifs à la protection contre les inondations sont basés sur les budgets des PAPI et PSR. N</w:t>
      </w:r>
      <w:r w:rsidR="00377B04">
        <w:rPr>
          <w:sz w:val="24"/>
        </w:rPr>
        <w:t>ous considérerons la totalité des</w:t>
      </w:r>
      <w:r>
        <w:rPr>
          <w:sz w:val="24"/>
        </w:rPr>
        <w:t xml:space="preserve"> budget</w:t>
      </w:r>
      <w:r w:rsidR="00377B04">
        <w:rPr>
          <w:sz w:val="24"/>
        </w:rPr>
        <w:t>s</w:t>
      </w:r>
      <w:r>
        <w:rPr>
          <w:sz w:val="24"/>
        </w:rPr>
        <w:t xml:space="preserve"> investi</w:t>
      </w:r>
      <w:r w:rsidR="00377B04">
        <w:rPr>
          <w:sz w:val="24"/>
        </w:rPr>
        <w:t>s</w:t>
      </w:r>
      <w:r>
        <w:rPr>
          <w:sz w:val="24"/>
        </w:rPr>
        <w:t xml:space="preserve"> dans ces dispositifs.</w:t>
      </w:r>
      <w:r w:rsidR="00377B04">
        <w:rPr>
          <w:sz w:val="24"/>
        </w:rPr>
        <w:t xml:space="preserve"> Seuls sont</w:t>
      </w:r>
      <w:r w:rsidR="00CA5BB1">
        <w:rPr>
          <w:sz w:val="24"/>
        </w:rPr>
        <w:t xml:space="preserve"> considérés </w:t>
      </w:r>
      <w:r w:rsidR="00377B04">
        <w:rPr>
          <w:sz w:val="24"/>
        </w:rPr>
        <w:t>les PAPI et PSR</w:t>
      </w:r>
      <w:r w:rsidR="00CA5BB1">
        <w:rPr>
          <w:sz w:val="24"/>
        </w:rPr>
        <w:t xml:space="preserve"> inscrits dans le cadre du</w:t>
      </w:r>
      <w:r w:rsidR="00B7199D">
        <w:rPr>
          <w:sz w:val="24"/>
        </w:rPr>
        <w:t xml:space="preserve"> nouveau dispositif PAPI – PSR lancé en </w:t>
      </w:r>
      <w:r w:rsidR="00CA5BB1">
        <w:rPr>
          <w:sz w:val="24"/>
        </w:rPr>
        <w:t>2011</w:t>
      </w:r>
      <w:r w:rsidR="00B265A4">
        <w:rPr>
          <w:sz w:val="24"/>
        </w:rPr>
        <w:t>.</w:t>
      </w:r>
    </w:p>
    <w:p w:rsidR="00697C28" w:rsidRDefault="00697C28" w:rsidP="00697C28">
      <w:pPr>
        <w:pStyle w:val="ListParagraph"/>
        <w:ind w:left="284"/>
        <w:jc w:val="both"/>
        <w:rPr>
          <w:sz w:val="24"/>
        </w:rPr>
      </w:pPr>
      <w:r w:rsidRPr="00697C28">
        <w:rPr>
          <w:sz w:val="24"/>
        </w:rPr>
        <w:t xml:space="preserve">Par ailleurs, </w:t>
      </w:r>
      <w:r>
        <w:rPr>
          <w:sz w:val="24"/>
        </w:rPr>
        <w:t xml:space="preserve">la ville </w:t>
      </w:r>
      <w:r w:rsidRPr="00697C28">
        <w:rPr>
          <w:sz w:val="24"/>
        </w:rPr>
        <w:t xml:space="preserve">d’Ajaccio </w:t>
      </w:r>
      <w:r>
        <w:rPr>
          <w:sz w:val="24"/>
        </w:rPr>
        <w:t xml:space="preserve">possède un PAPI couvrant </w:t>
      </w:r>
      <w:r w:rsidRPr="00697C28">
        <w:rPr>
          <w:sz w:val="24"/>
        </w:rPr>
        <w:t xml:space="preserve">la période 2012 – 2018 </w:t>
      </w:r>
      <w:r w:rsidR="00377B04">
        <w:rPr>
          <w:sz w:val="24"/>
        </w:rPr>
        <w:t>pour</w:t>
      </w:r>
      <w:r w:rsidRPr="00697C28">
        <w:rPr>
          <w:sz w:val="24"/>
        </w:rPr>
        <w:t xml:space="preserve"> un budget de 54 M€</w:t>
      </w:r>
      <w:r w:rsidR="00550301">
        <w:rPr>
          <w:sz w:val="24"/>
        </w:rPr>
        <w:t>.</w:t>
      </w:r>
    </w:p>
    <w:p w:rsidR="00C7142A" w:rsidRDefault="00C7142A" w:rsidP="00697C28">
      <w:pPr>
        <w:pStyle w:val="ListParagraph"/>
        <w:ind w:left="284"/>
        <w:jc w:val="both"/>
        <w:rPr>
          <w:sz w:val="24"/>
        </w:rPr>
      </w:pPr>
    </w:p>
    <w:p w:rsidR="00C7142A" w:rsidRDefault="00C7142A" w:rsidP="00697C28">
      <w:pPr>
        <w:pStyle w:val="ListParagraph"/>
        <w:ind w:left="284"/>
        <w:jc w:val="both"/>
        <w:rPr>
          <w:sz w:val="24"/>
        </w:rPr>
      </w:pPr>
    </w:p>
    <w:p w:rsidR="00CE44D9" w:rsidRDefault="00CE44D9" w:rsidP="00697C28">
      <w:pPr>
        <w:pStyle w:val="ListParagraph"/>
        <w:ind w:left="284"/>
        <w:jc w:val="both"/>
        <w:rPr>
          <w:sz w:val="24"/>
        </w:rPr>
      </w:pPr>
      <w:r>
        <w:rPr>
          <w:sz w:val="24"/>
        </w:rPr>
        <w:lastRenderedPageBreak/>
        <w:t>Le tableau 2 détaille les montants</w:t>
      </w:r>
      <w:r w:rsidR="00377B04">
        <w:rPr>
          <w:sz w:val="24"/>
        </w:rPr>
        <w:t xml:space="preserve"> d’investissements mis en jeu sur les bassins</w:t>
      </w:r>
      <w:r>
        <w:rPr>
          <w:sz w:val="24"/>
        </w:rPr>
        <w:t xml:space="preserve"> RM</w:t>
      </w:r>
      <w:r w:rsidR="00377B04">
        <w:rPr>
          <w:sz w:val="24"/>
        </w:rPr>
        <w:t>&amp;</w:t>
      </w:r>
      <w:r>
        <w:rPr>
          <w:sz w:val="24"/>
        </w:rPr>
        <w:t>C</w:t>
      </w:r>
      <w:r w:rsidR="00B7199D">
        <w:rPr>
          <w:sz w:val="24"/>
        </w:rPr>
        <w:t xml:space="preserve"> pour la </w:t>
      </w:r>
      <w:r w:rsidR="00B265A4">
        <w:rPr>
          <w:sz w:val="24"/>
        </w:rPr>
        <w:t>protection</w:t>
      </w:r>
      <w:r w:rsidR="00B7199D">
        <w:rPr>
          <w:sz w:val="24"/>
        </w:rPr>
        <w:t xml:space="preserve"> contre les inondations</w:t>
      </w:r>
      <w:r>
        <w:rPr>
          <w:sz w:val="24"/>
        </w:rPr>
        <w:t>.</w:t>
      </w:r>
    </w:p>
    <w:p w:rsidR="00C7142A" w:rsidRDefault="00C7142A" w:rsidP="00697C28">
      <w:pPr>
        <w:pStyle w:val="ListParagraph"/>
        <w:ind w:left="284"/>
        <w:jc w:val="both"/>
        <w:rPr>
          <w:sz w:val="24"/>
        </w:rPr>
      </w:pPr>
    </w:p>
    <w:p w:rsidR="00697C28" w:rsidRDefault="00792D6A" w:rsidP="00697C28">
      <w:pPr>
        <w:pStyle w:val="ListParagraph"/>
        <w:ind w:left="284"/>
        <w:jc w:val="both"/>
        <w:rPr>
          <w:sz w:val="24"/>
        </w:rPr>
      </w:pPr>
      <w:r w:rsidRPr="00A65DE8">
        <w:rPr>
          <w:noProof/>
          <w:lang w:eastAsia="fr-FR"/>
        </w:rPr>
        <w:drawing>
          <wp:inline distT="0" distB="0" distL="0" distR="0">
            <wp:extent cx="5760085" cy="89345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893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4D9" w:rsidRPr="009F647C" w:rsidRDefault="00CE44D9" w:rsidP="001255B1">
      <w:pPr>
        <w:pStyle w:val="ListParagraph"/>
        <w:ind w:left="284"/>
        <w:jc w:val="center"/>
        <w:outlineLvl w:val="0"/>
        <w:rPr>
          <w:b/>
          <w:i/>
          <w:sz w:val="20"/>
        </w:rPr>
      </w:pPr>
      <w:r w:rsidRPr="009F647C">
        <w:rPr>
          <w:b/>
          <w:i/>
          <w:sz w:val="20"/>
        </w:rPr>
        <w:t>Tableau 2 : Estimation d</w:t>
      </w:r>
      <w:r w:rsidR="004542A4">
        <w:rPr>
          <w:b/>
          <w:i/>
          <w:sz w:val="20"/>
        </w:rPr>
        <w:t>u</w:t>
      </w:r>
      <w:r w:rsidRPr="009F647C">
        <w:rPr>
          <w:b/>
          <w:i/>
          <w:sz w:val="20"/>
        </w:rPr>
        <w:t xml:space="preserve"> coût d’investissements e</w:t>
      </w:r>
      <w:r w:rsidR="009F647C">
        <w:rPr>
          <w:b/>
          <w:i/>
          <w:sz w:val="20"/>
        </w:rPr>
        <w:t xml:space="preserve">t </w:t>
      </w:r>
      <w:r w:rsidR="004542A4">
        <w:rPr>
          <w:b/>
          <w:i/>
          <w:sz w:val="20"/>
        </w:rPr>
        <w:t xml:space="preserve">de son </w:t>
      </w:r>
      <w:r w:rsidR="009F647C" w:rsidRPr="009F647C">
        <w:rPr>
          <w:b/>
          <w:i/>
          <w:sz w:val="20"/>
        </w:rPr>
        <w:t xml:space="preserve">amortissement </w:t>
      </w:r>
    </w:p>
    <w:p w:rsidR="009F647C" w:rsidRPr="009F647C" w:rsidRDefault="009F647C" w:rsidP="00697C28">
      <w:pPr>
        <w:pStyle w:val="ListParagraph"/>
        <w:ind w:left="284"/>
        <w:jc w:val="both"/>
        <w:rPr>
          <w:sz w:val="16"/>
        </w:rPr>
      </w:pPr>
    </w:p>
    <w:p w:rsidR="00697C28" w:rsidRPr="00042D24" w:rsidRDefault="00BF3651" w:rsidP="00042D24">
      <w:pPr>
        <w:pStyle w:val="ListParagraph"/>
        <w:numPr>
          <w:ilvl w:val="0"/>
          <w:numId w:val="6"/>
        </w:numPr>
        <w:ind w:left="284" w:hanging="284"/>
        <w:jc w:val="both"/>
        <w:rPr>
          <w:i/>
          <w:sz w:val="24"/>
        </w:rPr>
      </w:pPr>
      <w:r w:rsidRPr="00BF3651">
        <w:rPr>
          <w:sz w:val="24"/>
        </w:rPr>
        <w:t xml:space="preserve"> </w:t>
      </w:r>
      <w:r w:rsidR="00CA5BB1" w:rsidRPr="00BF3651">
        <w:rPr>
          <w:sz w:val="24"/>
        </w:rPr>
        <w:t xml:space="preserve">Nous considérons que </w:t>
      </w:r>
      <w:r w:rsidR="00697C28" w:rsidRPr="00BF3651">
        <w:rPr>
          <w:sz w:val="24"/>
        </w:rPr>
        <w:t>40% des investissements dédiés aux PAPI – PSR sur le</w:t>
      </w:r>
      <w:r w:rsidR="00377B04">
        <w:rPr>
          <w:sz w:val="24"/>
        </w:rPr>
        <w:t>s</w:t>
      </w:r>
      <w:r w:rsidR="00697C28" w:rsidRPr="00BF3651">
        <w:rPr>
          <w:sz w:val="24"/>
        </w:rPr>
        <w:t xml:space="preserve"> bassin</w:t>
      </w:r>
      <w:r w:rsidR="00377B04">
        <w:rPr>
          <w:sz w:val="24"/>
        </w:rPr>
        <w:t>s</w:t>
      </w:r>
      <w:r w:rsidR="00697C28" w:rsidRPr="00BF3651">
        <w:rPr>
          <w:sz w:val="24"/>
        </w:rPr>
        <w:t xml:space="preserve"> RM</w:t>
      </w:r>
      <w:r w:rsidR="00377B04">
        <w:rPr>
          <w:sz w:val="24"/>
        </w:rPr>
        <w:t>&amp;</w:t>
      </w:r>
      <w:r w:rsidR="00697C28" w:rsidRPr="00BF3651">
        <w:rPr>
          <w:sz w:val="24"/>
        </w:rPr>
        <w:t xml:space="preserve">C </w:t>
      </w:r>
      <w:r w:rsidR="00CA5BB1" w:rsidRPr="00BF3651">
        <w:rPr>
          <w:sz w:val="24"/>
        </w:rPr>
        <w:t>s</w:t>
      </w:r>
      <w:r w:rsidR="00697C28" w:rsidRPr="00BF3651">
        <w:rPr>
          <w:sz w:val="24"/>
        </w:rPr>
        <w:t>ont assimilés à des charges d’exploitation</w:t>
      </w:r>
      <w:r w:rsidR="00C002F7">
        <w:rPr>
          <w:sz w:val="24"/>
        </w:rPr>
        <w:t xml:space="preserve"> [2]</w:t>
      </w:r>
      <w:r w:rsidR="004C61D6">
        <w:rPr>
          <w:sz w:val="24"/>
        </w:rPr>
        <w:t xml:space="preserve"> (soit 31,9 M€)</w:t>
      </w:r>
      <w:r w:rsidR="00697C28" w:rsidRPr="00BF3651">
        <w:rPr>
          <w:sz w:val="24"/>
        </w:rPr>
        <w:t>. Il s’agit effectivement de toutes les actions de planification des alertes et de sensibilisation menées dans le cadre de la protection contre les inondations.</w:t>
      </w:r>
      <w:r w:rsidRPr="00BF3651">
        <w:rPr>
          <w:sz w:val="24"/>
        </w:rPr>
        <w:t xml:space="preserve"> </w:t>
      </w:r>
    </w:p>
    <w:p w:rsidR="00BF3651" w:rsidRPr="00042D24" w:rsidRDefault="00042D24" w:rsidP="00042D24">
      <w:pPr>
        <w:pStyle w:val="ListParagraph"/>
        <w:numPr>
          <w:ilvl w:val="0"/>
          <w:numId w:val="6"/>
        </w:numPr>
        <w:ind w:left="284" w:hanging="284"/>
        <w:jc w:val="both"/>
        <w:rPr>
          <w:sz w:val="24"/>
        </w:rPr>
      </w:pPr>
      <w:r w:rsidRPr="00042D24">
        <w:rPr>
          <w:sz w:val="24"/>
        </w:rPr>
        <w:t xml:space="preserve"> </w:t>
      </w:r>
      <w:r w:rsidR="00BF3651" w:rsidRPr="00042D24">
        <w:rPr>
          <w:sz w:val="24"/>
        </w:rPr>
        <w:t>Parallèlement, nous admett</w:t>
      </w:r>
      <w:r w:rsidR="009F647C">
        <w:rPr>
          <w:sz w:val="24"/>
        </w:rPr>
        <w:t>r</w:t>
      </w:r>
      <w:r w:rsidR="00BF3651" w:rsidRPr="00042D24">
        <w:rPr>
          <w:sz w:val="24"/>
        </w:rPr>
        <w:t xml:space="preserve">ons que 60% du budget des PAPI et PSR est alloué aux travaux de protection contre les inondations [2].  </w:t>
      </w:r>
    </w:p>
    <w:p w:rsidR="00042D24" w:rsidRDefault="00BF3651" w:rsidP="00042D24">
      <w:pPr>
        <w:pStyle w:val="ListParagraph"/>
        <w:ind w:left="284"/>
        <w:jc w:val="both"/>
        <w:rPr>
          <w:sz w:val="24"/>
        </w:rPr>
      </w:pPr>
      <w:r>
        <w:rPr>
          <w:sz w:val="24"/>
        </w:rPr>
        <w:t>Il est à noter que</w:t>
      </w:r>
      <w:r w:rsidR="009F647C">
        <w:rPr>
          <w:sz w:val="24"/>
        </w:rPr>
        <w:t xml:space="preserve"> depuis février 2011</w:t>
      </w:r>
      <w:r>
        <w:rPr>
          <w:sz w:val="24"/>
        </w:rPr>
        <w:t xml:space="preserve"> la grande majorité des travaux de protection contre les inondations menés dans le cadre de ces dispositifs a consisté en des </w:t>
      </w:r>
      <w:r w:rsidR="00BE3F95" w:rsidRPr="00BF3651">
        <w:rPr>
          <w:sz w:val="24"/>
        </w:rPr>
        <w:t>travaux de confortement et de rehaussement de digues</w:t>
      </w:r>
      <w:r w:rsidR="00042D24">
        <w:rPr>
          <w:sz w:val="24"/>
        </w:rPr>
        <w:t xml:space="preserve"> [1]</w:t>
      </w:r>
      <w:r>
        <w:rPr>
          <w:sz w:val="24"/>
        </w:rPr>
        <w:t>. L’</w:t>
      </w:r>
      <w:r w:rsidRPr="00BF3651">
        <w:rPr>
          <w:sz w:val="24"/>
        </w:rPr>
        <w:t xml:space="preserve">amortissement du capital a </w:t>
      </w:r>
      <w:r>
        <w:rPr>
          <w:sz w:val="24"/>
        </w:rPr>
        <w:t xml:space="preserve">ainsi </w:t>
      </w:r>
      <w:r w:rsidRPr="00BF3651">
        <w:rPr>
          <w:sz w:val="24"/>
        </w:rPr>
        <w:t xml:space="preserve">été calculé </w:t>
      </w:r>
      <w:r w:rsidR="009F647C">
        <w:rPr>
          <w:sz w:val="24"/>
        </w:rPr>
        <w:t>en considérant une</w:t>
      </w:r>
      <w:r>
        <w:rPr>
          <w:sz w:val="24"/>
        </w:rPr>
        <w:t xml:space="preserve"> </w:t>
      </w:r>
      <w:r w:rsidR="00BE3F95" w:rsidRPr="00BF3651">
        <w:rPr>
          <w:sz w:val="24"/>
        </w:rPr>
        <w:t xml:space="preserve">durée de vie </w:t>
      </w:r>
      <w:r w:rsidR="00B7199D">
        <w:rPr>
          <w:sz w:val="24"/>
        </w:rPr>
        <w:t xml:space="preserve">pour ce type de travaux </w:t>
      </w:r>
      <w:r w:rsidR="009F647C" w:rsidRPr="00A65DE8">
        <w:rPr>
          <w:sz w:val="24"/>
        </w:rPr>
        <w:t>de</w:t>
      </w:r>
      <w:r w:rsidRPr="00A65DE8">
        <w:rPr>
          <w:sz w:val="24"/>
        </w:rPr>
        <w:t xml:space="preserve"> </w:t>
      </w:r>
      <w:r w:rsidR="00792D6A" w:rsidRPr="00A65DE8">
        <w:rPr>
          <w:sz w:val="24"/>
        </w:rPr>
        <w:t>15</w:t>
      </w:r>
      <w:r w:rsidRPr="00A65DE8">
        <w:rPr>
          <w:sz w:val="24"/>
        </w:rPr>
        <w:t xml:space="preserve"> ans</w:t>
      </w:r>
      <w:r w:rsidR="00697C28" w:rsidRPr="00A65DE8">
        <w:rPr>
          <w:sz w:val="24"/>
        </w:rPr>
        <w:t>.</w:t>
      </w:r>
    </w:p>
    <w:p w:rsidR="00042D24" w:rsidRDefault="00042D24" w:rsidP="00042D24">
      <w:pPr>
        <w:pStyle w:val="ListParagraph"/>
        <w:numPr>
          <w:ilvl w:val="0"/>
          <w:numId w:val="10"/>
        </w:numPr>
        <w:ind w:left="284" w:hanging="284"/>
        <w:jc w:val="both"/>
        <w:rPr>
          <w:sz w:val="24"/>
        </w:rPr>
      </w:pPr>
      <w:r>
        <w:rPr>
          <w:sz w:val="24"/>
        </w:rPr>
        <w:t xml:space="preserve">Nous </w:t>
      </w:r>
      <w:r w:rsidR="004C61D6">
        <w:rPr>
          <w:sz w:val="24"/>
        </w:rPr>
        <w:t>estimons donc l’amortissement annuel à 3,2 M€ (60 % de 79,6 M€=47,8 M€, divisé par 15 pour avoir l’amortissement annuel)</w:t>
      </w:r>
    </w:p>
    <w:p w:rsidR="004542A4" w:rsidRDefault="004542A4" w:rsidP="00042D24">
      <w:pPr>
        <w:pStyle w:val="ListParagraph"/>
        <w:numPr>
          <w:ilvl w:val="0"/>
          <w:numId w:val="10"/>
        </w:numPr>
        <w:ind w:left="284" w:hanging="284"/>
        <w:jc w:val="both"/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646430</wp:posOffset>
            </wp:positionH>
            <wp:positionV relativeFrom="paragraph">
              <wp:posOffset>521970</wp:posOffset>
            </wp:positionV>
            <wp:extent cx="4488815" cy="659130"/>
            <wp:effectExtent l="19050" t="0" r="698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81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Les financements des dispositifs PAPI et PSR présentés ci- dessous se répartissent de la manière suivante : </w:t>
      </w:r>
    </w:p>
    <w:p w:rsidR="004542A4" w:rsidRPr="004542A4" w:rsidRDefault="004542A4" w:rsidP="004542A4">
      <w:pPr>
        <w:jc w:val="both"/>
        <w:rPr>
          <w:sz w:val="24"/>
        </w:rPr>
      </w:pPr>
    </w:p>
    <w:p w:rsidR="00DE1B82" w:rsidRDefault="00DE1B82" w:rsidP="00EB31A6">
      <w:pPr>
        <w:spacing w:after="0"/>
        <w:jc w:val="both"/>
        <w:rPr>
          <w:b/>
          <w:u w:val="single"/>
        </w:rPr>
      </w:pPr>
    </w:p>
    <w:p w:rsidR="004542A4" w:rsidRPr="004542A4" w:rsidRDefault="004542A4" w:rsidP="004542A4">
      <w:pPr>
        <w:spacing w:after="0"/>
        <w:ind w:left="708"/>
        <w:jc w:val="both"/>
        <w:rPr>
          <w:i/>
          <w:sz w:val="10"/>
        </w:rPr>
      </w:pPr>
    </w:p>
    <w:p w:rsidR="00DE1B82" w:rsidRDefault="004542A4" w:rsidP="004542A4">
      <w:pPr>
        <w:spacing w:after="0"/>
        <w:ind w:left="708"/>
        <w:jc w:val="both"/>
        <w:rPr>
          <w:i/>
          <w:sz w:val="18"/>
        </w:rPr>
      </w:pPr>
      <w:r>
        <w:rPr>
          <w:i/>
          <w:sz w:val="18"/>
        </w:rPr>
        <w:t xml:space="preserve">       </w:t>
      </w:r>
      <w:r w:rsidR="00DE1B82" w:rsidRPr="00DE1B82">
        <w:rPr>
          <w:i/>
          <w:sz w:val="18"/>
        </w:rPr>
        <w:t>* Fond de prévention des risques naturels majeurs</w:t>
      </w:r>
    </w:p>
    <w:p w:rsidR="004542A4" w:rsidRDefault="004542A4" w:rsidP="004542A4">
      <w:pPr>
        <w:spacing w:after="0"/>
        <w:ind w:left="708"/>
        <w:jc w:val="center"/>
        <w:rPr>
          <w:b/>
          <w:i/>
          <w:sz w:val="20"/>
        </w:rPr>
      </w:pPr>
      <w:r w:rsidRPr="004542A4">
        <w:rPr>
          <w:b/>
          <w:i/>
          <w:sz w:val="20"/>
        </w:rPr>
        <w:t>Tableau 3 : Estimation de la répartition des financements associés aux dispositifs PAPI et PSR en RMC</w:t>
      </w:r>
    </w:p>
    <w:p w:rsidR="004542A4" w:rsidRPr="004542A4" w:rsidRDefault="004542A4" w:rsidP="004542A4">
      <w:pPr>
        <w:spacing w:after="0"/>
        <w:ind w:left="708"/>
        <w:jc w:val="center"/>
        <w:rPr>
          <w:b/>
          <w:i/>
          <w:sz w:val="20"/>
        </w:rPr>
      </w:pPr>
    </w:p>
    <w:p w:rsidR="004542A4" w:rsidRDefault="00DE1B82" w:rsidP="001255B1">
      <w:pPr>
        <w:outlineLvl w:val="0"/>
        <w:rPr>
          <w:b/>
          <w:u w:val="single"/>
        </w:rPr>
      </w:pPr>
      <w:r w:rsidRPr="00E73424">
        <w:rPr>
          <w:b/>
          <w:u w:val="single"/>
        </w:rPr>
        <w:t>Sources</w:t>
      </w:r>
    </w:p>
    <w:p w:rsidR="00DE1B82" w:rsidRPr="00825C8C" w:rsidRDefault="00F06317" w:rsidP="00825C8C">
      <w:pPr>
        <w:spacing w:after="0"/>
        <w:jc w:val="both"/>
        <w:rPr>
          <w:sz w:val="24"/>
          <w:szCs w:val="24"/>
        </w:rPr>
      </w:pPr>
      <w:r w:rsidRPr="00825C8C">
        <w:rPr>
          <w:sz w:val="24"/>
          <w:szCs w:val="24"/>
        </w:rPr>
        <w:t>[1]</w:t>
      </w:r>
      <w:r w:rsidR="00DE1B82" w:rsidRPr="00825C8C">
        <w:rPr>
          <w:sz w:val="24"/>
          <w:szCs w:val="24"/>
        </w:rPr>
        <w:t>Rapport de la DREAL Rhône Alpes au sujet des dispositifs PAPI – PSR au 31 mai 2013</w:t>
      </w:r>
    </w:p>
    <w:p w:rsidR="00825C8C" w:rsidRPr="00825C8C" w:rsidRDefault="00825C8C" w:rsidP="001255B1">
      <w:pPr>
        <w:spacing w:after="0"/>
        <w:jc w:val="both"/>
        <w:outlineLvl w:val="0"/>
        <w:rPr>
          <w:sz w:val="24"/>
          <w:szCs w:val="24"/>
        </w:rPr>
      </w:pPr>
      <w:r w:rsidRPr="00825C8C">
        <w:rPr>
          <w:sz w:val="24"/>
          <w:szCs w:val="24"/>
        </w:rPr>
        <w:t>[2]Entretien avec Stéphane Jourdain -  DREAL Rhône Alpes</w:t>
      </w:r>
    </w:p>
    <w:p w:rsidR="00DE1B82" w:rsidRPr="00825C8C" w:rsidRDefault="00F06317" w:rsidP="00825C8C">
      <w:pPr>
        <w:spacing w:after="0"/>
        <w:jc w:val="both"/>
        <w:rPr>
          <w:sz w:val="24"/>
          <w:szCs w:val="24"/>
        </w:rPr>
      </w:pPr>
      <w:r w:rsidRPr="00825C8C">
        <w:rPr>
          <w:sz w:val="24"/>
          <w:szCs w:val="24"/>
        </w:rPr>
        <w:t>[3]</w:t>
      </w:r>
      <w:r w:rsidR="00DE1B82" w:rsidRPr="00825C8C">
        <w:rPr>
          <w:sz w:val="24"/>
          <w:szCs w:val="24"/>
        </w:rPr>
        <w:t xml:space="preserve">Ministère de l'environnement : PAPI Corse </w:t>
      </w:r>
      <w:hyperlink r:id="rId11" w:history="1">
        <w:r w:rsidR="00DE1B82" w:rsidRPr="00825C8C">
          <w:rPr>
            <w:rStyle w:val="Hyperlink"/>
            <w:sz w:val="24"/>
            <w:szCs w:val="24"/>
          </w:rPr>
          <w:t>http://www.developpement-durable.gouv.fr/IMG/pdf/130228_bilan_PAPI_PSR_CP_Xynthia.pdf</w:t>
        </w:r>
      </w:hyperlink>
    </w:p>
    <w:p w:rsidR="00DE1B82" w:rsidRPr="00825C8C" w:rsidRDefault="00825C8C" w:rsidP="00825C8C">
      <w:pPr>
        <w:spacing w:after="0"/>
        <w:jc w:val="both"/>
        <w:rPr>
          <w:sz w:val="24"/>
          <w:szCs w:val="24"/>
        </w:rPr>
      </w:pPr>
      <w:r w:rsidRPr="00825C8C">
        <w:rPr>
          <w:sz w:val="24"/>
          <w:szCs w:val="24"/>
        </w:rPr>
        <w:t>[4]</w:t>
      </w:r>
      <w:r w:rsidR="00DE1B82" w:rsidRPr="00825C8C">
        <w:rPr>
          <w:sz w:val="24"/>
          <w:szCs w:val="24"/>
        </w:rPr>
        <w:t>Cahier des charges des PAPI – PSR (nouveau dispositif) : http://www.developpement-durable.gouv.fr/IMG/pdf/PAPI.pdf</w:t>
      </w:r>
    </w:p>
    <w:p w:rsidR="00DE1B82" w:rsidRPr="00E73424" w:rsidRDefault="00DE1B82" w:rsidP="00825C8C">
      <w:pPr>
        <w:spacing w:after="0"/>
        <w:rPr>
          <w:b/>
          <w:u w:val="single"/>
        </w:rPr>
      </w:pPr>
    </w:p>
    <w:p w:rsidR="00DE1B82" w:rsidRDefault="00DE1B82" w:rsidP="00D97CD5"/>
    <w:p w:rsidR="00C827B0" w:rsidRPr="000F2BC6" w:rsidRDefault="00C827B0" w:rsidP="00C827B0">
      <w:pPr>
        <w:rPr>
          <w:shd w:val="clear" w:color="auto" w:fill="000000"/>
        </w:rPr>
      </w:pPr>
    </w:p>
    <w:sectPr w:rsidR="00C827B0" w:rsidRPr="000F2BC6" w:rsidSect="00042D24">
      <w:footerReference w:type="even" r:id="rId12"/>
      <w:footerReference w:type="default" r:id="rId13"/>
      <w:pgSz w:w="11906" w:h="16838"/>
      <w:pgMar w:top="957" w:right="1417" w:bottom="1417" w:left="1418" w:header="708" w:footer="5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356" w:rsidRDefault="003C3356" w:rsidP="002A1637">
      <w:pPr>
        <w:spacing w:after="0" w:line="240" w:lineRule="auto"/>
      </w:pPr>
      <w:r>
        <w:separator/>
      </w:r>
    </w:p>
  </w:endnote>
  <w:endnote w:type="continuationSeparator" w:id="0">
    <w:p w:rsidR="003C3356" w:rsidRDefault="003C3356" w:rsidP="002A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5B1" w:rsidRPr="005F749D" w:rsidRDefault="001255B1" w:rsidP="001255B1">
    <w:pPr>
      <w:pStyle w:val="Footer"/>
      <w:rPr>
        <w:sz w:val="16"/>
      </w:rPr>
    </w:pPr>
    <w:r w:rsidRPr="005F749D">
      <w:rPr>
        <w:sz w:val="16"/>
      </w:rPr>
      <w:t>Récupération des coûts des services liés à l’utilisation de l’eau sur les bassins Rhône Méditerranée &amp; Corse – Mission 3</w:t>
    </w:r>
    <w:r>
      <w:rPr>
        <w:sz w:val="16"/>
      </w:rPr>
      <w:tab/>
      <w:t>Août 2013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C8C" w:rsidRPr="00825C8C" w:rsidRDefault="00F06317" w:rsidP="00825C8C">
    <w:pPr>
      <w:spacing w:after="0"/>
      <w:jc w:val="both"/>
      <w:rPr>
        <w:i/>
        <w:sz w:val="18"/>
      </w:rPr>
    </w:pPr>
    <w:r>
      <w:rPr>
        <w:i/>
        <w:sz w:val="18"/>
      </w:rPr>
      <w:t>*</w:t>
    </w:r>
    <w:r w:rsidRPr="00F06317">
      <w:rPr>
        <w:i/>
        <w:sz w:val="18"/>
      </w:rPr>
      <w:t>Le nouveau dispositif</w:t>
    </w:r>
    <w:r w:rsidR="00825C8C">
      <w:rPr>
        <w:i/>
        <w:sz w:val="18"/>
      </w:rPr>
      <w:t> : L</w:t>
    </w:r>
    <w:r w:rsidR="00825C8C" w:rsidRPr="00825C8C">
      <w:rPr>
        <w:i/>
        <w:sz w:val="18"/>
      </w:rPr>
      <w:t xml:space="preserve">e ministère du Développement durable a décidé, en 2009, de rénover le dispositif des PAPI </w:t>
    </w:r>
    <w:r w:rsidR="00825C8C">
      <w:rPr>
        <w:i/>
        <w:sz w:val="18"/>
      </w:rPr>
      <w:t>afin</w:t>
    </w:r>
    <w:r w:rsidR="00825C8C" w:rsidRPr="00825C8C">
      <w:rPr>
        <w:i/>
        <w:sz w:val="18"/>
      </w:rPr>
      <w:t xml:space="preserve"> d’assurer la transition avec </w:t>
    </w:r>
    <w:r w:rsidR="00825C8C">
      <w:rPr>
        <w:i/>
        <w:sz w:val="18"/>
      </w:rPr>
      <w:t>l’application</w:t>
    </w:r>
    <w:r w:rsidR="00825C8C" w:rsidRPr="00825C8C">
      <w:rPr>
        <w:i/>
        <w:sz w:val="18"/>
      </w:rPr>
      <w:t xml:space="preserve"> de la directive européenne 2007/60/CE relative à l’évaluation et à la gestion des</w:t>
    </w:r>
    <w:r w:rsidR="00825C8C">
      <w:rPr>
        <w:i/>
        <w:sz w:val="18"/>
      </w:rPr>
      <w:t xml:space="preserve"> </w:t>
    </w:r>
    <w:r w:rsidR="00825C8C" w:rsidRPr="00825C8C">
      <w:rPr>
        <w:i/>
        <w:sz w:val="18"/>
      </w:rPr>
      <w:t>risques d’inondation</w:t>
    </w:r>
    <w:r w:rsidR="00825C8C">
      <w:rPr>
        <w:i/>
        <w:sz w:val="18"/>
      </w:rPr>
      <w:t xml:space="preserve"> (</w:t>
    </w:r>
    <w:r w:rsidR="00825C8C" w:rsidRPr="00825C8C">
      <w:rPr>
        <w:i/>
        <w:sz w:val="18"/>
      </w:rPr>
      <w:t>élaboration de plans de gestion des risques</w:t>
    </w:r>
    <w:r w:rsidR="00825C8C">
      <w:rPr>
        <w:i/>
        <w:sz w:val="18"/>
      </w:rPr>
      <w:t xml:space="preserve"> </w:t>
    </w:r>
    <w:r w:rsidR="00825C8C" w:rsidRPr="00825C8C">
      <w:rPr>
        <w:i/>
        <w:sz w:val="18"/>
      </w:rPr>
      <w:t xml:space="preserve">d’ici 2015 </w:t>
    </w:r>
    <w:r w:rsidR="00825C8C">
      <w:rPr>
        <w:i/>
        <w:sz w:val="18"/>
      </w:rPr>
      <w:t xml:space="preserve">sur l’ensemble des bassins en France). Le but étant de </w:t>
    </w:r>
    <w:r w:rsidR="00825C8C" w:rsidRPr="00825C8C">
      <w:rPr>
        <w:i/>
        <w:sz w:val="18"/>
      </w:rPr>
      <w:t xml:space="preserve">limiter au maximum les conséquences humaines, économiques </w:t>
    </w:r>
    <w:r w:rsidR="00825C8C">
      <w:rPr>
        <w:i/>
        <w:sz w:val="18"/>
      </w:rPr>
      <w:t>et écologiques des catastrophes (Cf. [4]).</w:t>
    </w:r>
  </w:p>
  <w:p w:rsidR="00CA5BB1" w:rsidRPr="00CA5BB1" w:rsidRDefault="00F06317" w:rsidP="00825C8C">
    <w:pPr>
      <w:spacing w:after="0"/>
      <w:jc w:val="both"/>
      <w:rPr>
        <w:i/>
        <w:sz w:val="18"/>
      </w:rPr>
    </w:pPr>
    <w:r>
      <w:rPr>
        <w:i/>
        <w:sz w:val="18"/>
      </w:rPr>
      <w:t>*</w:t>
    </w:r>
    <w:r w:rsidR="00CA5BB1" w:rsidRPr="00CA5BB1">
      <w:rPr>
        <w:i/>
        <w:sz w:val="18"/>
      </w:rPr>
      <w:t>*</w:t>
    </w:r>
    <w:r w:rsidR="00CA5BB1">
      <w:rPr>
        <w:i/>
        <w:sz w:val="18"/>
      </w:rPr>
      <w:t>La notion de label correspond à un</w:t>
    </w:r>
    <w:r w:rsidR="00CA5BB1" w:rsidRPr="00CA5BB1">
      <w:rPr>
        <w:i/>
        <w:sz w:val="18"/>
      </w:rPr>
      <w:t>e exigence pour l'obtention de financements de l'État pour les travaux de protection contre les inondations et submersions marines.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356" w:rsidRDefault="003C3356" w:rsidP="002A1637">
      <w:pPr>
        <w:spacing w:after="0" w:line="240" w:lineRule="auto"/>
      </w:pPr>
      <w:r>
        <w:separator/>
      </w:r>
    </w:p>
  </w:footnote>
  <w:footnote w:type="continuationSeparator" w:id="0">
    <w:p w:rsidR="003C3356" w:rsidRDefault="003C3356" w:rsidP="002A1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2CC6"/>
    <w:multiLevelType w:val="hybridMultilevel"/>
    <w:tmpl w:val="BA20FCFA"/>
    <w:lvl w:ilvl="0" w:tplc="334C7904">
      <w:start w:val="25"/>
      <w:numFmt w:val="bullet"/>
      <w:lvlText w:val=""/>
      <w:lvlJc w:val="left"/>
      <w:pPr>
        <w:ind w:left="136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9AA6144"/>
    <w:multiLevelType w:val="hybridMultilevel"/>
    <w:tmpl w:val="837C9B96"/>
    <w:lvl w:ilvl="0" w:tplc="334C7904">
      <w:start w:val="25"/>
      <w:numFmt w:val="bullet"/>
      <w:lvlText w:val=""/>
      <w:lvlJc w:val="left"/>
      <w:pPr>
        <w:ind w:left="136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174210F"/>
    <w:multiLevelType w:val="hybridMultilevel"/>
    <w:tmpl w:val="F1BC68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E71DC7"/>
    <w:multiLevelType w:val="hybridMultilevel"/>
    <w:tmpl w:val="9D8CACF2"/>
    <w:lvl w:ilvl="0" w:tplc="94D43070">
      <w:start w:val="2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C4A56"/>
    <w:multiLevelType w:val="hybridMultilevel"/>
    <w:tmpl w:val="EE944B5E"/>
    <w:lvl w:ilvl="0" w:tplc="334C7904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707CB"/>
    <w:multiLevelType w:val="hybridMultilevel"/>
    <w:tmpl w:val="64D823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345BF2"/>
    <w:multiLevelType w:val="hybridMultilevel"/>
    <w:tmpl w:val="E536E984"/>
    <w:lvl w:ilvl="0" w:tplc="D4C89E42">
      <w:start w:val="2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B208C7"/>
    <w:multiLevelType w:val="hybridMultilevel"/>
    <w:tmpl w:val="BA7A6560"/>
    <w:lvl w:ilvl="0" w:tplc="F6688884">
      <w:start w:val="2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5B2D57"/>
    <w:multiLevelType w:val="hybridMultilevel"/>
    <w:tmpl w:val="4C9A1C2A"/>
    <w:lvl w:ilvl="0" w:tplc="334C7904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0A0258"/>
    <w:multiLevelType w:val="hybridMultilevel"/>
    <w:tmpl w:val="F0941616"/>
    <w:lvl w:ilvl="0" w:tplc="334C7904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A763351"/>
    <w:multiLevelType w:val="hybridMultilevel"/>
    <w:tmpl w:val="EB2447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104D0D"/>
    <w:multiLevelType w:val="hybridMultilevel"/>
    <w:tmpl w:val="48EA935C"/>
    <w:lvl w:ilvl="0" w:tplc="334C7904">
      <w:start w:val="25"/>
      <w:numFmt w:val="bullet"/>
      <w:lvlText w:val=""/>
      <w:lvlJc w:val="left"/>
      <w:pPr>
        <w:ind w:left="136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7"/>
  </w:num>
  <w:num w:numId="5">
    <w:abstractNumId w:val="9"/>
  </w:num>
  <w:num w:numId="6">
    <w:abstractNumId w:val="0"/>
  </w:num>
  <w:num w:numId="7">
    <w:abstractNumId w:val="11"/>
  </w:num>
  <w:num w:numId="8">
    <w:abstractNumId w:val="8"/>
  </w:num>
  <w:num w:numId="9">
    <w:abstractNumId w:val="1"/>
  </w:num>
  <w:num w:numId="10">
    <w:abstractNumId w:val="4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7D2"/>
    <w:rsid w:val="00042D24"/>
    <w:rsid w:val="00051560"/>
    <w:rsid w:val="001255B1"/>
    <w:rsid w:val="00141FBE"/>
    <w:rsid w:val="00182FCC"/>
    <w:rsid w:val="001B0F59"/>
    <w:rsid w:val="001D76A2"/>
    <w:rsid w:val="001E4F48"/>
    <w:rsid w:val="0025274B"/>
    <w:rsid w:val="002735AC"/>
    <w:rsid w:val="00292740"/>
    <w:rsid w:val="002A1637"/>
    <w:rsid w:val="002A187A"/>
    <w:rsid w:val="002A45F0"/>
    <w:rsid w:val="002E4CBA"/>
    <w:rsid w:val="002F012B"/>
    <w:rsid w:val="003113E1"/>
    <w:rsid w:val="003169B0"/>
    <w:rsid w:val="00377B04"/>
    <w:rsid w:val="00391B19"/>
    <w:rsid w:val="00395FD8"/>
    <w:rsid w:val="003C3356"/>
    <w:rsid w:val="00432A32"/>
    <w:rsid w:val="004542A4"/>
    <w:rsid w:val="00457451"/>
    <w:rsid w:val="004C61D6"/>
    <w:rsid w:val="004D2D8D"/>
    <w:rsid w:val="004E21AF"/>
    <w:rsid w:val="00550301"/>
    <w:rsid w:val="0055707C"/>
    <w:rsid w:val="00584539"/>
    <w:rsid w:val="00585A9C"/>
    <w:rsid w:val="00585E74"/>
    <w:rsid w:val="00587C57"/>
    <w:rsid w:val="005E2CE7"/>
    <w:rsid w:val="00650501"/>
    <w:rsid w:val="00663C45"/>
    <w:rsid w:val="00697C28"/>
    <w:rsid w:val="006A7330"/>
    <w:rsid w:val="006B6396"/>
    <w:rsid w:val="00706B74"/>
    <w:rsid w:val="00717C36"/>
    <w:rsid w:val="007524C2"/>
    <w:rsid w:val="00783F80"/>
    <w:rsid w:val="00792D6A"/>
    <w:rsid w:val="007931CB"/>
    <w:rsid w:val="00825C8C"/>
    <w:rsid w:val="00844A60"/>
    <w:rsid w:val="008C27B9"/>
    <w:rsid w:val="008C4C65"/>
    <w:rsid w:val="008E5893"/>
    <w:rsid w:val="00981868"/>
    <w:rsid w:val="009B31EA"/>
    <w:rsid w:val="009C4FA9"/>
    <w:rsid w:val="009E5F43"/>
    <w:rsid w:val="009F647C"/>
    <w:rsid w:val="00A35AC3"/>
    <w:rsid w:val="00A65DE8"/>
    <w:rsid w:val="00A81B44"/>
    <w:rsid w:val="00B12434"/>
    <w:rsid w:val="00B168E8"/>
    <w:rsid w:val="00B22664"/>
    <w:rsid w:val="00B265A4"/>
    <w:rsid w:val="00B413AF"/>
    <w:rsid w:val="00B7199D"/>
    <w:rsid w:val="00BE3F95"/>
    <w:rsid w:val="00BF3651"/>
    <w:rsid w:val="00C002F7"/>
    <w:rsid w:val="00C15EAC"/>
    <w:rsid w:val="00C64012"/>
    <w:rsid w:val="00C7142A"/>
    <w:rsid w:val="00C827B0"/>
    <w:rsid w:val="00C83AEB"/>
    <w:rsid w:val="00CA23B7"/>
    <w:rsid w:val="00CA5BB1"/>
    <w:rsid w:val="00CB4DA2"/>
    <w:rsid w:val="00CC7081"/>
    <w:rsid w:val="00CE44D9"/>
    <w:rsid w:val="00CF055F"/>
    <w:rsid w:val="00CF138D"/>
    <w:rsid w:val="00CF5F8A"/>
    <w:rsid w:val="00CF6D7D"/>
    <w:rsid w:val="00D30604"/>
    <w:rsid w:val="00D659BB"/>
    <w:rsid w:val="00D97CD5"/>
    <w:rsid w:val="00DC47D2"/>
    <w:rsid w:val="00DC7181"/>
    <w:rsid w:val="00DD255B"/>
    <w:rsid w:val="00DE1B82"/>
    <w:rsid w:val="00E1278C"/>
    <w:rsid w:val="00E37163"/>
    <w:rsid w:val="00E73424"/>
    <w:rsid w:val="00E96962"/>
    <w:rsid w:val="00EB31A6"/>
    <w:rsid w:val="00EF788D"/>
    <w:rsid w:val="00F06317"/>
    <w:rsid w:val="00F5386D"/>
    <w:rsid w:val="00F774A7"/>
    <w:rsid w:val="00F90605"/>
    <w:rsid w:val="00F934ED"/>
    <w:rsid w:val="00F93A9F"/>
    <w:rsid w:val="00FA57DE"/>
    <w:rsid w:val="00FB6FB0"/>
    <w:rsid w:val="00FE6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 [16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C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A1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1637"/>
  </w:style>
  <w:style w:type="paragraph" w:styleId="Footer">
    <w:name w:val="footer"/>
    <w:basedOn w:val="Normal"/>
    <w:link w:val="FooterChar"/>
    <w:uiPriority w:val="99"/>
    <w:unhideWhenUsed/>
    <w:rsid w:val="002A1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637"/>
  </w:style>
  <w:style w:type="table" w:styleId="TableGrid">
    <w:name w:val="Table Grid"/>
    <w:basedOn w:val="TableNormal"/>
    <w:uiPriority w:val="59"/>
    <w:rsid w:val="00CF5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5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F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23B7"/>
    <w:pPr>
      <w:ind w:left="720"/>
      <w:contextualSpacing/>
    </w:pPr>
  </w:style>
  <w:style w:type="table" w:styleId="LightShading">
    <w:name w:val="Light Shading"/>
    <w:basedOn w:val="TableNormal"/>
    <w:uiPriority w:val="60"/>
    <w:rsid w:val="002A45F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25274B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25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255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eveloppement-durable.gouv.fr/IMG/pdf/130228_bilan_PAPI_PSR_CP_Xynthia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02F3B-C204-4FE6-B7F8-FE27C5E4E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dc:description/>
  <cp:lastModifiedBy>Georges.Golla</cp:lastModifiedBy>
  <cp:revision>2</cp:revision>
  <dcterms:created xsi:type="dcterms:W3CDTF">2013-10-10T14:02:00Z</dcterms:created>
  <dcterms:modified xsi:type="dcterms:W3CDTF">2013-10-10T14:02:00Z</dcterms:modified>
</cp:coreProperties>
</file>